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Normal.0"/>
        <w:jc w:val="center"/>
        <w:rPr>
          <w:rFonts w:ascii="Sylfaen" w:cs="Sylfaen" w:hAnsi="Sylfaen" w:eastAsia="Sylfaen"/>
          <w:b w:val="1"/>
          <w:bCs w:val="1"/>
          <w:sz w:val="20"/>
          <w:szCs w:val="20"/>
        </w:rPr>
      </w:pPr>
    </w:p>
    <w:p>
      <w:pPr>
        <w:pStyle w:val="Normal.0"/>
        <w:jc w:val="center"/>
        <w:rPr>
          <w:rFonts w:ascii="Sylfaen" w:cs="Sylfaen" w:hAnsi="Sylfaen" w:eastAsia="Sylfaen"/>
          <w:b w:val="1"/>
          <w:bCs w:val="1"/>
          <w:sz w:val="20"/>
          <w:szCs w:val="20"/>
        </w:rPr>
      </w:pPr>
      <w:r>
        <w:rPr>
          <w:rFonts w:ascii="Sylfaen" w:cs="Sylfaen" w:hAnsi="Sylfaen" w:eastAsia="Sylfaen"/>
          <w:b w:val="1"/>
          <w:bCs w:val="1"/>
          <w:sz w:val="20"/>
          <w:szCs w:val="20"/>
          <w:rtl w:val="0"/>
        </w:rPr>
        <w:t>ՀԱՅՏԱՐԱՐՈՒԹՅՈՒՆ</w:t>
      </w:r>
    </w:p>
    <w:p>
      <w:pPr>
        <w:pStyle w:val="Normal.0"/>
        <w:jc w:val="center"/>
        <w:rPr>
          <w:rFonts w:ascii="Sylfaen" w:cs="Sylfaen" w:hAnsi="Sylfaen" w:eastAsia="Sylfaen"/>
          <w:b w:val="1"/>
          <w:bCs w:val="1"/>
          <w:sz w:val="20"/>
          <w:szCs w:val="20"/>
        </w:rPr>
      </w:pPr>
      <w:r>
        <w:rPr>
          <w:rFonts w:ascii="Sylfaen" w:cs="Sylfaen" w:hAnsi="Sylfaen" w:eastAsia="Sylfaen"/>
          <w:b w:val="1"/>
          <w:bCs w:val="1"/>
          <w:sz w:val="20"/>
          <w:szCs w:val="20"/>
          <w:rtl w:val="0"/>
        </w:rPr>
        <w:t>գնման ընթացակարգը չկայացած հայտարարելու մասին</w:t>
      </w:r>
    </w:p>
    <w:p>
      <w:pPr>
        <w:pStyle w:val="Normal.0"/>
        <w:jc w:val="both"/>
        <w:rPr>
          <w:rFonts w:ascii="Sylfaen" w:cs="Sylfaen" w:hAnsi="Sylfaen" w:eastAsia="Sylfaen"/>
          <w:sz w:val="20"/>
          <w:szCs w:val="20"/>
        </w:rPr>
      </w:pPr>
    </w:p>
    <w:p>
      <w:pPr>
        <w:pStyle w:val="Heading 3"/>
        <w:ind w:firstLine="0"/>
        <w:rPr>
          <w:rFonts w:ascii="Sylfaen" w:cs="Sylfaen" w:hAnsi="Sylfaen" w:eastAsia="Sylfaen"/>
          <w:b w:val="0"/>
          <w:bCs w:val="0"/>
          <w:sz w:val="20"/>
          <w:szCs w:val="20"/>
        </w:rPr>
      </w:pPr>
    </w:p>
    <w:p>
      <w:pPr>
        <w:pStyle w:val="Heading 3"/>
        <w:ind w:firstLine="0"/>
        <w:rPr>
          <w:rFonts w:ascii="Sylfaen" w:cs="Sylfaen" w:hAnsi="Sylfaen" w:eastAsia="Sylfaen"/>
          <w:b w:val="0"/>
          <w:bCs w:val="0"/>
          <w:sz w:val="20"/>
          <w:szCs w:val="20"/>
        </w:rPr>
      </w:pPr>
      <w:r>
        <w:rPr>
          <w:rFonts w:ascii="Sylfaen" w:cs="Sylfaen" w:hAnsi="Sylfaen" w:eastAsia="Sylfaen"/>
          <w:b w:val="0"/>
          <w:bCs w:val="0"/>
          <w:sz w:val="20"/>
          <w:szCs w:val="20"/>
          <w:rtl w:val="0"/>
        </w:rPr>
        <w:t xml:space="preserve">Ընթացակարգի ծածկագիրը </w:t>
      </w:r>
      <w:r>
        <w:rPr>
          <w:rFonts w:ascii="Sylfaen" w:cs="Sylfaen" w:hAnsi="Sylfaen" w:eastAsia="Sylfaen"/>
          <w:b w:val="0"/>
          <w:bCs w:val="0"/>
          <w:sz w:val="20"/>
          <w:szCs w:val="20"/>
          <w:rtl w:val="0"/>
        </w:rPr>
        <w:t>«ԵՋԷԿ</w:t>
      </w:r>
      <w:r>
        <w:rPr>
          <w:rFonts w:ascii="Sylfaen" w:cs="Sylfaen" w:hAnsi="Sylfaen" w:eastAsia="Sylfaen"/>
          <w:b w:val="0"/>
          <w:bCs w:val="0"/>
          <w:sz w:val="20"/>
          <w:szCs w:val="20"/>
          <w:rtl w:val="0"/>
        </w:rPr>
        <w:t>-</w:t>
      </w:r>
      <w:r>
        <w:rPr>
          <w:rFonts w:ascii="Sylfaen" w:cs="Sylfaen" w:hAnsi="Sylfaen" w:eastAsia="Sylfaen"/>
          <w:b w:val="0"/>
          <w:bCs w:val="0"/>
          <w:sz w:val="20"/>
          <w:szCs w:val="20"/>
          <w:rtl w:val="0"/>
        </w:rPr>
        <w:t>ԳՀԱՊՁԲ</w:t>
      </w:r>
      <w:r>
        <w:rPr>
          <w:rFonts w:ascii="Sylfaen" w:cs="Sylfaen" w:hAnsi="Sylfaen" w:eastAsia="Sylfaen"/>
          <w:b w:val="0"/>
          <w:bCs w:val="0"/>
          <w:sz w:val="20"/>
          <w:szCs w:val="20"/>
          <w:rtl w:val="0"/>
        </w:rPr>
        <w:t>-18/51</w:t>
      </w:r>
      <w:r>
        <w:rPr>
          <w:rFonts w:ascii="Sylfaen" w:cs="Sylfaen" w:hAnsi="Sylfaen" w:eastAsia="Sylfaen"/>
          <w:b w:val="0"/>
          <w:bCs w:val="0"/>
          <w:sz w:val="20"/>
          <w:szCs w:val="20"/>
          <w:rtl w:val="0"/>
        </w:rPr>
        <w:t>»</w:t>
      </w:r>
    </w:p>
    <w:p>
      <w:pPr>
        <w:pStyle w:val="Normal.0"/>
        <w:rPr>
          <w:rFonts w:ascii="Sylfaen" w:cs="Sylfaen" w:hAnsi="Sylfaen" w:eastAsia="Sylfaen"/>
          <w:sz w:val="20"/>
          <w:szCs w:val="20"/>
        </w:rPr>
      </w:pPr>
    </w:p>
    <w:p>
      <w:pPr>
        <w:pStyle w:val="Normal.0"/>
        <w:rPr>
          <w:rFonts w:ascii="Sylfaen" w:cs="Sylfaen" w:hAnsi="Sylfaen" w:eastAsia="Sylfaen"/>
          <w:sz w:val="20"/>
          <w:szCs w:val="20"/>
        </w:rPr>
      </w:pPr>
    </w:p>
    <w:p>
      <w:pPr>
        <w:pStyle w:val="Normal.0"/>
        <w:spacing w:line="360" w:lineRule="auto"/>
        <w:ind w:firstLine="709"/>
        <w:jc w:val="both"/>
        <w:rPr>
          <w:rFonts w:ascii="Sylfaen" w:cs="Sylfaen" w:hAnsi="Sylfaen" w:eastAsia="Sylfaen"/>
          <w:sz w:val="20"/>
          <w:szCs w:val="20"/>
        </w:rPr>
      </w:pPr>
      <w:r>
        <w:rPr>
          <w:rFonts w:ascii="Sylfaen" w:cs="Sylfaen" w:hAnsi="Sylfaen" w:eastAsia="Sylfaen"/>
          <w:sz w:val="20"/>
          <w:szCs w:val="20"/>
          <w:rtl w:val="0"/>
        </w:rPr>
        <w:t xml:space="preserve">«Երևանի Ջերմաէլեկտրակենտրոն» ՓԲԸ </w:t>
      </w:r>
      <w:r>
        <w:rPr>
          <w:rFonts w:ascii="Sylfaen" w:cs="Sylfaen" w:hAnsi="Sylfaen" w:eastAsia="Sylfaen"/>
          <w:sz w:val="20"/>
          <w:szCs w:val="20"/>
          <w:rtl w:val="0"/>
        </w:rPr>
        <w:t>-</w:t>
      </w:r>
      <w:r>
        <w:rPr>
          <w:rFonts w:ascii="Sylfaen" w:cs="Sylfaen" w:hAnsi="Sylfaen" w:eastAsia="Sylfaen"/>
          <w:sz w:val="20"/>
          <w:szCs w:val="20"/>
          <w:rtl w:val="0"/>
        </w:rPr>
        <w:t>ի ստորև ներկայացնում է իր կարիքների համար կտրող սարք օրակլի  համար և օրակլի ինքնակպչուն գունավոր թղթերի ձեռքբերման նպատակով «ԵՋԷԿ</w:t>
      </w:r>
      <w:r>
        <w:rPr>
          <w:rFonts w:ascii="Sylfaen" w:cs="Sylfaen" w:hAnsi="Sylfaen" w:eastAsia="Sylfaen"/>
          <w:sz w:val="20"/>
          <w:szCs w:val="20"/>
          <w:rtl w:val="0"/>
        </w:rPr>
        <w:t>-</w:t>
      </w:r>
      <w:r>
        <w:rPr>
          <w:rFonts w:ascii="Sylfaen" w:cs="Sylfaen" w:hAnsi="Sylfaen" w:eastAsia="Sylfaen"/>
          <w:sz w:val="20"/>
          <w:szCs w:val="20"/>
          <w:rtl w:val="0"/>
        </w:rPr>
        <w:t>ԳՀԱՊՁԲ</w:t>
      </w:r>
      <w:r>
        <w:rPr>
          <w:rFonts w:ascii="Sylfaen" w:cs="Sylfaen" w:hAnsi="Sylfaen" w:eastAsia="Sylfaen"/>
          <w:sz w:val="20"/>
          <w:szCs w:val="20"/>
          <w:rtl w:val="0"/>
        </w:rPr>
        <w:t>-18/51</w:t>
      </w:r>
      <w:r>
        <w:rPr>
          <w:rFonts w:ascii="Sylfaen" w:cs="Sylfaen" w:hAnsi="Sylfaen" w:eastAsia="Sylfaen"/>
          <w:sz w:val="20"/>
          <w:szCs w:val="20"/>
          <w:rtl w:val="0"/>
        </w:rPr>
        <w:t xml:space="preserve">» </w:t>
      </w:r>
      <w:r>
        <w:rPr>
          <w:rFonts w:ascii="Sylfaen" w:cs="Sylfaen" w:hAnsi="Sylfaen" w:eastAsia="Sylfaen"/>
          <w:sz w:val="20"/>
          <w:szCs w:val="20"/>
          <w:rtl w:val="0"/>
        </w:rPr>
        <w:t xml:space="preserve">ծածկագրով գնման ընթացակարգը </w:t>
      </w:r>
    </w:p>
    <w:p>
      <w:pPr>
        <w:pStyle w:val="Normal.0"/>
        <w:spacing w:line="360" w:lineRule="auto"/>
        <w:jc w:val="both"/>
        <w:rPr>
          <w:rFonts w:ascii="Sylfaen" w:cs="Sylfaen" w:hAnsi="Sylfaen" w:eastAsia="Sylfaen"/>
          <w:sz w:val="20"/>
          <w:szCs w:val="20"/>
        </w:rPr>
      </w:pPr>
    </w:p>
    <w:p>
      <w:pPr>
        <w:pStyle w:val="Normal.0"/>
        <w:spacing w:line="360" w:lineRule="auto"/>
        <w:jc w:val="both"/>
        <w:rPr>
          <w:rFonts w:ascii="Sylfaen" w:cs="Sylfaen" w:hAnsi="Sylfaen" w:eastAsia="Sylfaen"/>
          <w:sz w:val="20"/>
          <w:szCs w:val="20"/>
        </w:rPr>
      </w:pPr>
      <w:r>
        <w:rPr>
          <w:rFonts w:ascii="Sylfaen" w:cs="Sylfaen" w:hAnsi="Sylfaen" w:eastAsia="Sylfaen"/>
          <w:sz w:val="20"/>
          <w:szCs w:val="20"/>
          <w:rtl w:val="0"/>
        </w:rPr>
        <w:t>չկայացած հայտարարելու մասին տեղեկատվությունը</w:t>
      </w:r>
      <w:r>
        <w:rPr>
          <w:rFonts w:ascii="Sylfaen" w:cs="Sylfaen" w:hAnsi="Sylfaen" w:eastAsia="Sylfaen"/>
          <w:sz w:val="20"/>
          <w:szCs w:val="20"/>
          <w:rtl w:val="0"/>
        </w:rPr>
        <w:t>`</w:t>
      </w:r>
    </w:p>
    <w:tbl>
      <w:tblPr>
        <w:tblW w:w="10505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505"/>
        <w:gridCol w:w="1841"/>
        <w:gridCol w:w="2713"/>
        <w:gridCol w:w="2434"/>
        <w:gridCol w:w="2012"/>
      </w:tblGrid>
      <w:tr>
        <w:tblPrEx>
          <w:shd w:val="clear" w:color="auto" w:fill="ced7e7"/>
        </w:tblPrEx>
        <w:trPr>
          <w:trHeight w:val="2146" w:hRule="atLeast"/>
        </w:trPr>
        <w:tc>
          <w:tcPr>
            <w:tcW w:type="dxa" w:w="1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Չափաբաժնի համար</w:t>
            </w:r>
          </w:p>
        </w:tc>
        <w:tc>
          <w:tcPr>
            <w:tcW w:type="dxa" w:w="18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Գնման առարկայի համառոտ նկարագրություն</w:t>
            </w:r>
          </w:p>
        </w:tc>
        <w:tc>
          <w:tcPr>
            <w:tcW w:type="dxa" w:w="27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Գնման ընթացակարգի մասնակիցների անվանումները</w:t>
            </w: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`</w:t>
            </w: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այդպիսիք լինելու դեպքում</w:t>
            </w:r>
          </w:p>
        </w:tc>
        <w:tc>
          <w:tcPr>
            <w:tcW w:type="dxa" w:w="24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rFonts w:ascii="Sylfaen" w:cs="Sylfaen" w:hAnsi="Sylfaen" w:eastAsia="Sylfaen"/>
                <w:b w:val="1"/>
                <w:bCs w:val="1"/>
                <w:sz w:val="20"/>
                <w:szCs w:val="20"/>
              </w:rPr>
            </w:pP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Գնման ընթացակարգը չկայացած է հայտարարվել համաձայն</w:t>
            </w: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`</w:t>
            </w: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 xml:space="preserve">”Գնումների մասին” ՀՀ օրենքի </w:t>
            </w: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37-</w:t>
            </w: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 xml:space="preserve">րդ հոդվածի </w:t>
            </w: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1-</w:t>
            </w: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ին մասի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/</w:t>
            </w: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ընդգծել համապատասխան տողը</w:t>
            </w: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/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>
        <w:tblPrEx>
          <w:shd w:val="clear" w:color="auto" w:fill="ced7e7"/>
        </w:tblPrEx>
        <w:trPr>
          <w:trHeight w:val="954" w:hRule="atLeast"/>
        </w:trPr>
        <w:tc>
          <w:tcPr>
            <w:tcW w:type="dxa" w:w="1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Sylfaen" w:cs="Sylfaen" w:hAnsi="Sylfaen" w:eastAsia="Sylfaen"/>
                <w:b w:val="1"/>
                <w:bCs w:val="1"/>
                <w:sz w:val="20"/>
                <w:szCs w:val="20"/>
                <w:rtl w:val="0"/>
              </w:rPr>
              <w:t>1</w:t>
            </w:r>
          </w:p>
        </w:tc>
        <w:tc>
          <w:tcPr>
            <w:tcW w:type="dxa" w:w="18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Sylfaen" w:cs="Sylfaen" w:hAnsi="Sylfaen" w:eastAsia="Sylfaen"/>
                <w:sz w:val="20"/>
                <w:szCs w:val="20"/>
                <w:rtl w:val="0"/>
                <w:lang w:val="en-US"/>
              </w:rPr>
              <w:t>Օրակլի գունավոր ինքնակպչուն թղթեր ռուլոնով</w:t>
            </w:r>
          </w:p>
        </w:tc>
        <w:tc>
          <w:tcPr>
            <w:tcW w:type="dxa" w:w="27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Sylfaen" w:cs="Sylfaen" w:hAnsi="Sylfaen" w:eastAsia="Sylfaen"/>
                <w:sz w:val="20"/>
                <w:szCs w:val="20"/>
                <w:rtl w:val="0"/>
              </w:rPr>
              <w:t>-</w:t>
            </w:r>
          </w:p>
        </w:tc>
        <w:tc>
          <w:tcPr>
            <w:tcW w:type="dxa" w:w="24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rFonts w:ascii="Sylfaen" w:cs="Sylfaen" w:hAnsi="Sylfaen" w:eastAsia="Sylfaen"/>
                <w:sz w:val="20"/>
                <w:szCs w:val="20"/>
              </w:rPr>
            </w:pPr>
            <w:r>
              <w:rPr>
                <w:rFonts w:ascii="Marion Bold" w:cs="Sylfaen" w:hAnsi="Marion Bold" w:eastAsia="Sylfaen"/>
                <w:sz w:val="20"/>
                <w:szCs w:val="20"/>
                <w:u w:val="single"/>
                <w:rtl w:val="0"/>
              </w:rPr>
              <w:t>1-</w:t>
            </w:r>
            <w:r>
              <w:rPr>
                <w:rFonts w:ascii="Marion Bold" w:cs="Sylfaen" w:hAnsi="Marion Bold" w:eastAsia="Sylfaen" w:hint="default"/>
                <w:sz w:val="20"/>
                <w:szCs w:val="20"/>
                <w:u w:val="single"/>
                <w:rtl w:val="0"/>
              </w:rPr>
              <w:t>ին կետի</w:t>
            </w:r>
            <w:r>
              <w:rPr>
                <w:rFonts w:ascii="Sylfaen" w:cs="Sylfaen" w:hAnsi="Sylfaen" w:eastAsia="Sylfaen"/>
                <w:sz w:val="20"/>
                <w:szCs w:val="20"/>
                <w:rtl w:val="0"/>
              </w:rPr>
              <w:t xml:space="preserve"> 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Fonts w:ascii="Sylfaen" w:cs="Sylfaen" w:hAnsi="Sylfaen" w:eastAsia="Sylfaen"/>
                <w:sz w:val="20"/>
                <w:szCs w:val="20"/>
                <w:rtl w:val="0"/>
              </w:rPr>
            </w:pPr>
            <w:r>
              <w:rPr>
                <w:rFonts w:ascii="Sylfaen" w:cs="Sylfaen" w:hAnsi="Sylfaen" w:eastAsia="Sylfaen"/>
                <w:sz w:val="20"/>
                <w:szCs w:val="20"/>
                <w:rtl w:val="0"/>
              </w:rPr>
              <w:t>2-</w:t>
            </w:r>
            <w:r>
              <w:rPr>
                <w:rFonts w:ascii="Sylfaen" w:cs="Sylfaen" w:hAnsi="Sylfaen" w:eastAsia="Sylfaen"/>
                <w:sz w:val="20"/>
                <w:szCs w:val="20"/>
                <w:rtl w:val="0"/>
              </w:rPr>
              <w:t>րդ կետի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Fonts w:ascii="Sylfaen" w:cs="Sylfaen" w:hAnsi="Sylfaen" w:eastAsia="Sylfaen"/>
                <w:sz w:val="20"/>
                <w:szCs w:val="20"/>
                <w:rtl w:val="0"/>
              </w:rPr>
            </w:pPr>
            <w:r>
              <w:rPr>
                <w:rFonts w:ascii="Sylfaen" w:cs="Sylfaen" w:hAnsi="Sylfaen" w:eastAsia="Sylfaen"/>
                <w:sz w:val="20"/>
                <w:szCs w:val="20"/>
                <w:rtl w:val="0"/>
              </w:rPr>
              <w:t>3-</w:t>
            </w:r>
            <w:r>
              <w:rPr>
                <w:rFonts w:ascii="Sylfaen" w:cs="Sylfaen" w:hAnsi="Sylfaen" w:eastAsia="Sylfaen"/>
                <w:sz w:val="20"/>
                <w:szCs w:val="20"/>
                <w:rtl w:val="0"/>
              </w:rPr>
              <w:t>րդ կետի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Sylfaen" w:cs="Sylfaen" w:hAnsi="Sylfaen" w:eastAsia="Sylfaen"/>
                <w:sz w:val="20"/>
                <w:szCs w:val="20"/>
                <w:rtl w:val="0"/>
              </w:rPr>
              <w:t>4-</w:t>
            </w:r>
            <w:r>
              <w:rPr>
                <w:rFonts w:ascii="Sylfaen" w:cs="Sylfaen" w:hAnsi="Sylfaen" w:eastAsia="Sylfaen"/>
                <w:sz w:val="20"/>
                <w:szCs w:val="20"/>
                <w:rtl w:val="0"/>
              </w:rPr>
              <w:t>րդ կետի</w:t>
            </w:r>
          </w:p>
        </w:tc>
        <w:tc>
          <w:tcPr>
            <w:tcW w:type="dxa" w:w="20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Sylfaen" w:cs="Sylfaen" w:hAnsi="Sylfaen" w:eastAsia="Sylfaen"/>
                <w:sz w:val="18"/>
                <w:szCs w:val="18"/>
                <w:rtl w:val="0"/>
                <w:lang w:val="en-US"/>
              </w:rPr>
              <w:t>հայտերից ոչ մեկը չի համապատասխանում հրավերի պայմաններին</w:t>
            </w:r>
          </w:p>
        </w:tc>
      </w:tr>
    </w:tbl>
    <w:p>
      <w:pPr>
        <w:pStyle w:val="Normal.0"/>
        <w:widowControl w:val="0"/>
        <w:jc w:val="center"/>
        <w:rPr>
          <w:rFonts w:ascii="Sylfaen" w:cs="Sylfaen" w:hAnsi="Sylfaen" w:eastAsia="Sylfaen"/>
          <w:sz w:val="20"/>
          <w:szCs w:val="20"/>
        </w:rPr>
      </w:pPr>
    </w:p>
    <w:p>
      <w:pPr>
        <w:pStyle w:val="Normal.0"/>
        <w:ind w:firstLine="709"/>
        <w:jc w:val="both"/>
        <w:rPr>
          <w:rFonts w:ascii="Sylfaen" w:cs="Sylfaen" w:hAnsi="Sylfaen" w:eastAsia="Sylfaen"/>
          <w:sz w:val="20"/>
          <w:szCs w:val="20"/>
        </w:rPr>
      </w:pPr>
    </w:p>
    <w:p>
      <w:pPr>
        <w:pStyle w:val="Normal.0"/>
        <w:spacing w:line="360" w:lineRule="auto"/>
        <w:ind w:firstLine="709"/>
        <w:jc w:val="both"/>
        <w:rPr>
          <w:rFonts w:ascii="Sylfaen" w:cs="Sylfaen" w:hAnsi="Sylfaen" w:eastAsia="Sylfaen"/>
          <w:sz w:val="20"/>
          <w:szCs w:val="20"/>
        </w:rPr>
      </w:pPr>
      <w:r>
        <w:rPr>
          <w:rFonts w:ascii="Sylfaen" w:cs="Sylfaen" w:hAnsi="Sylfaen" w:eastAsia="Sylfaen"/>
          <w:sz w:val="20"/>
          <w:szCs w:val="20"/>
          <w:rtl w:val="0"/>
        </w:rPr>
        <w:t xml:space="preserve">Սույն հայտարարության հետ կապված լրացուցիչ տեղեկություններ ստանալու համար կարող եք դիմել </w:t>
      </w:r>
      <w:r>
        <w:rPr>
          <w:rFonts w:ascii="Sylfaen" w:cs="Sylfaen" w:hAnsi="Sylfaen" w:eastAsia="Sylfaen"/>
          <w:sz w:val="20"/>
          <w:szCs w:val="20"/>
          <w:rtl w:val="0"/>
        </w:rPr>
        <w:t>«ԵՋԷԿ</w:t>
      </w:r>
      <w:r>
        <w:rPr>
          <w:rFonts w:ascii="Sylfaen" w:cs="Sylfaen" w:hAnsi="Sylfaen" w:eastAsia="Sylfaen"/>
          <w:sz w:val="20"/>
          <w:szCs w:val="20"/>
          <w:rtl w:val="0"/>
        </w:rPr>
        <w:t>-</w:t>
      </w:r>
      <w:r>
        <w:rPr>
          <w:rFonts w:ascii="Sylfaen" w:cs="Sylfaen" w:hAnsi="Sylfaen" w:eastAsia="Sylfaen"/>
          <w:sz w:val="20"/>
          <w:szCs w:val="20"/>
          <w:rtl w:val="0"/>
        </w:rPr>
        <w:t>ԳՀԱՊՁԲ</w:t>
      </w:r>
      <w:r>
        <w:rPr>
          <w:rFonts w:ascii="Sylfaen" w:cs="Sylfaen" w:hAnsi="Sylfaen" w:eastAsia="Sylfaen"/>
          <w:sz w:val="20"/>
          <w:szCs w:val="20"/>
          <w:rtl w:val="0"/>
        </w:rPr>
        <w:t>-18/51</w:t>
      </w:r>
      <w:r>
        <w:rPr>
          <w:rFonts w:ascii="Sylfaen" w:cs="Sylfaen" w:hAnsi="Sylfaen" w:eastAsia="Sylfaen"/>
          <w:sz w:val="20"/>
          <w:szCs w:val="20"/>
          <w:rtl w:val="0"/>
        </w:rPr>
        <w:t>» ծ</w:t>
      </w:r>
      <w:r>
        <w:rPr>
          <w:rFonts w:ascii="Sylfaen" w:cs="Sylfaen" w:hAnsi="Sylfaen" w:eastAsia="Sylfaen"/>
          <w:sz w:val="20"/>
          <w:szCs w:val="20"/>
          <w:rtl w:val="0"/>
        </w:rPr>
        <w:t>ածկագրով գնումների համակարգող</w:t>
        <w:tab/>
        <w:t xml:space="preserve"> Ա</w:t>
      </w:r>
      <w:r>
        <w:rPr>
          <w:rFonts w:ascii="Sylfaen" w:cs="Sylfaen" w:hAnsi="Sylfaen" w:eastAsia="Sylfaen"/>
          <w:sz w:val="20"/>
          <w:szCs w:val="20"/>
          <w:rtl w:val="0"/>
        </w:rPr>
        <w:t xml:space="preserve">. </w:t>
      </w:r>
      <w:r>
        <w:rPr>
          <w:rFonts w:ascii="Sylfaen" w:cs="Sylfaen" w:hAnsi="Sylfaen" w:eastAsia="Sylfaen"/>
          <w:sz w:val="20"/>
          <w:szCs w:val="20"/>
          <w:rtl w:val="0"/>
        </w:rPr>
        <w:t>Սարգսյանին։</w:t>
      </w:r>
    </w:p>
    <w:p>
      <w:pPr>
        <w:pStyle w:val="Normal.0"/>
        <w:ind w:firstLine="709"/>
        <w:jc w:val="both"/>
        <w:rPr>
          <w:rFonts w:ascii="Sylfaen" w:cs="Sylfaen" w:hAnsi="Sylfaen" w:eastAsia="Sylfaen"/>
          <w:sz w:val="20"/>
          <w:szCs w:val="20"/>
        </w:rPr>
      </w:pPr>
      <w:r>
        <w:rPr>
          <w:rFonts w:ascii="Sylfaen" w:cs="Sylfaen" w:hAnsi="Sylfaen" w:eastAsia="Sylfaen"/>
          <w:sz w:val="20"/>
          <w:szCs w:val="20"/>
        </w:rPr>
        <w:tab/>
      </w:r>
    </w:p>
    <w:p>
      <w:pPr>
        <w:pStyle w:val="Normal.0"/>
        <w:spacing w:after="240" w:line="360" w:lineRule="auto"/>
        <w:ind w:firstLine="709"/>
        <w:jc w:val="both"/>
        <w:rPr>
          <w:rFonts w:ascii="Sylfaen" w:cs="Sylfaen" w:hAnsi="Sylfaen" w:eastAsia="Sylfaen"/>
          <w:sz w:val="20"/>
          <w:szCs w:val="20"/>
        </w:rPr>
      </w:pPr>
    </w:p>
    <w:p>
      <w:pPr>
        <w:pStyle w:val="Normal.0"/>
        <w:spacing w:line="360" w:lineRule="auto"/>
        <w:ind w:firstLine="709"/>
        <w:jc w:val="both"/>
        <w:rPr>
          <w:rFonts w:ascii="Sylfaen" w:cs="Sylfaen" w:hAnsi="Sylfaen" w:eastAsia="Sylfaen"/>
          <w:sz w:val="20"/>
          <w:szCs w:val="20"/>
        </w:rPr>
      </w:pPr>
      <w:r>
        <w:rPr>
          <w:rFonts w:ascii="Sylfaen" w:cs="Sylfaen" w:hAnsi="Sylfaen" w:eastAsia="Sylfaen"/>
          <w:sz w:val="20"/>
          <w:szCs w:val="20"/>
          <w:rtl w:val="0"/>
        </w:rPr>
        <w:t xml:space="preserve">Հեռախոս՝ </w:t>
      </w:r>
      <w:r>
        <w:rPr>
          <w:rFonts w:ascii="Sylfaen" w:cs="Sylfaen" w:hAnsi="Sylfaen" w:eastAsia="Sylfaen"/>
          <w:sz w:val="20"/>
          <w:szCs w:val="20"/>
          <w:rtl w:val="0"/>
        </w:rPr>
        <w:t>094-07-01-66</w:t>
      </w:r>
    </w:p>
    <w:p>
      <w:pPr>
        <w:pStyle w:val="Normal.0"/>
        <w:spacing w:line="360" w:lineRule="auto"/>
        <w:ind w:firstLine="709"/>
        <w:jc w:val="both"/>
        <w:rPr>
          <w:rFonts w:ascii="Sylfaen" w:cs="Sylfaen" w:hAnsi="Sylfaen" w:eastAsia="Sylfaen"/>
          <w:sz w:val="20"/>
          <w:szCs w:val="20"/>
        </w:rPr>
      </w:pPr>
      <w:r>
        <w:rPr>
          <w:rFonts w:ascii="Sylfaen" w:cs="Sylfaen" w:hAnsi="Sylfaen" w:eastAsia="Sylfaen"/>
          <w:sz w:val="20"/>
          <w:szCs w:val="20"/>
          <w:rtl w:val="0"/>
        </w:rPr>
        <w:t xml:space="preserve">Էլեկոտրանային փոստ՝ </w:t>
      </w:r>
      <w:r>
        <w:rPr>
          <w:rFonts w:ascii="Sylfaen" w:cs="Sylfaen" w:hAnsi="Sylfaen" w:eastAsia="Sylfaen"/>
          <w:sz w:val="20"/>
          <w:szCs w:val="20"/>
          <w:rtl w:val="0"/>
        </w:rPr>
        <w:t>tatevik.hovhannisyan@osllc.am</w:t>
      </w:r>
    </w:p>
    <w:p>
      <w:pPr>
        <w:pStyle w:val="Normal.0"/>
        <w:spacing w:line="360" w:lineRule="auto"/>
        <w:ind w:firstLine="709"/>
        <w:jc w:val="both"/>
        <w:rPr>
          <w:rFonts w:ascii="Sylfaen" w:cs="Sylfaen" w:hAnsi="Sylfaen" w:eastAsia="Sylfaen"/>
          <w:sz w:val="20"/>
          <w:szCs w:val="20"/>
        </w:rPr>
      </w:pPr>
      <w:r>
        <w:rPr>
          <w:rFonts w:ascii="Sylfaen" w:cs="Sylfaen" w:hAnsi="Sylfaen" w:eastAsia="Sylfaen"/>
          <w:sz w:val="20"/>
          <w:szCs w:val="20"/>
        </w:rPr>
        <w:tab/>
      </w:r>
    </w:p>
    <w:p>
      <w:pPr>
        <w:pStyle w:val="Normal.0"/>
        <w:spacing w:line="360" w:lineRule="auto"/>
        <w:ind w:firstLine="709"/>
        <w:jc w:val="both"/>
      </w:pPr>
      <w:r>
        <w:rPr>
          <w:rFonts w:ascii="Sylfaen" w:cs="Sylfaen" w:hAnsi="Sylfaen" w:eastAsia="Sylfaen"/>
          <w:sz w:val="20"/>
          <w:szCs w:val="20"/>
          <w:rtl w:val="0"/>
        </w:rPr>
        <w:t>Պատվիրատու</w:t>
      </w:r>
      <w:r>
        <w:rPr>
          <w:rFonts w:ascii="Sylfaen" w:cs="Sylfaen" w:hAnsi="Sylfaen" w:eastAsia="Sylfaen"/>
          <w:sz w:val="20"/>
          <w:szCs w:val="20"/>
          <w:rtl w:val="0"/>
        </w:rPr>
        <w:t xml:space="preserve">` </w:t>
      </w:r>
      <w:r>
        <w:rPr>
          <w:rFonts w:ascii="Sylfaen" w:cs="Sylfaen" w:hAnsi="Sylfaen" w:eastAsia="Sylfaen"/>
          <w:sz w:val="20"/>
          <w:szCs w:val="20"/>
          <w:rtl w:val="0"/>
        </w:rPr>
        <w:t>««Երևանի Ջերմաէլեկտրակենտրոն» ՓԲԸ</w:t>
      </w:r>
    </w:p>
    <w:sectPr>
      <w:headerReference w:type="default" r:id="rId4"/>
      <w:footerReference w:type="default" r:id="rId5"/>
      <w:pgSz w:w="11900" w:h="16840" w:orient="portrait"/>
      <w:pgMar w:top="284" w:right="850" w:bottom="284" w:left="900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Armenian">
    <w:charset w:val="00"/>
    <w:family w:val="roman"/>
    <w:pitch w:val="default"/>
  </w:font>
  <w:font w:name="Sylfaen">
    <w:charset w:val="00"/>
    <w:family w:val="roman"/>
    <w:pitch w:val="default"/>
  </w:font>
  <w:font w:name="Times LatArm">
    <w:charset w:val="00"/>
    <w:family w:val="roman"/>
    <w:pitch w:val="default"/>
  </w:font>
  <w:font w:name="Cambria">
    <w:charset w:val="00"/>
    <w:family w:val="roman"/>
    <w:pitch w:val="default"/>
  </w:font>
  <w:font w:name="Marion Bold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">
    <w:name w:val="Колонтитул"/>
    <w:next w:val="Колонтитул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Armenian" w:cs="Times Armenian" w:hAnsi="Times Armenian" w:eastAsia="Times Armeni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Heading 3">
    <w:name w:val="Heading 3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720"/>
      <w:jc w:val="center"/>
      <w:outlineLvl w:val="2"/>
    </w:pPr>
    <w:rPr>
      <w:rFonts w:ascii="Times LatArm" w:cs="Times LatArm" w:hAnsi="Times LatArm" w:eastAsia="Times LatArm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